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300" w:lineRule="atLeast"/>
        <w:jc w:val="center"/>
        <w:outlineLvl w:val="1"/>
        <w:rPr>
          <w:rFonts w:ascii="仿宋" w:hAnsi="仿宋" w:eastAsia="仿宋" w:cs="宋体"/>
          <w:b/>
          <w:bCs/>
          <w:kern w:val="0"/>
          <w:sz w:val="32"/>
          <w:szCs w:val="32"/>
        </w:rPr>
      </w:pPr>
      <w:r>
        <w:rPr>
          <w:rFonts w:hint="eastAsia" w:ascii="仿宋" w:hAnsi="仿宋" w:eastAsia="仿宋" w:cs="宋体"/>
          <w:b/>
          <w:bCs/>
          <w:kern w:val="0"/>
          <w:sz w:val="32"/>
          <w:szCs w:val="32"/>
        </w:rPr>
        <w:t>机械工程学院实验室特种设备安全管理规定</w:t>
      </w:r>
    </w:p>
    <w:p>
      <w:pPr>
        <w:rPr>
          <w:rFonts w:ascii="仿宋" w:hAnsi="仿宋" w:eastAsia="仿宋"/>
          <w:sz w:val="28"/>
          <w:szCs w:val="28"/>
        </w:rPr>
      </w:pP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firstLine="560" w:firstLineChars="200"/>
        <w:textAlignment w:val="auto"/>
        <w:rPr>
          <w:rFonts w:ascii="仿宋" w:hAnsi="仿宋" w:eastAsia="仿宋"/>
          <w:color w:val="454545"/>
          <w:sz w:val="28"/>
          <w:szCs w:val="28"/>
        </w:rPr>
      </w:pPr>
      <w:r>
        <w:rPr>
          <w:rFonts w:hint="eastAsia" w:ascii="仿宋" w:hAnsi="仿宋" w:eastAsia="仿宋"/>
          <w:color w:val="454545"/>
          <w:sz w:val="28"/>
          <w:szCs w:val="28"/>
        </w:rPr>
        <w:t>第一条 为加强学院实验室特种设备安全管理，防止和减少事故发生，保障师生员工人身安全和财产安全，保证教学科研工作正常进行，依据《中华人民共和国特种设备安全法》、《特种设备安全监察条例》等法律法规，制定本规定。</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firstLine="560" w:firstLineChars="200"/>
        <w:textAlignment w:val="auto"/>
        <w:rPr>
          <w:rFonts w:ascii="仿宋" w:hAnsi="仿宋" w:eastAsia="仿宋"/>
          <w:color w:val="454545"/>
          <w:sz w:val="28"/>
          <w:szCs w:val="28"/>
        </w:rPr>
      </w:pPr>
      <w:r>
        <w:rPr>
          <w:rFonts w:hint="eastAsia" w:ascii="仿宋" w:hAnsi="仿宋" w:eastAsia="仿宋"/>
          <w:color w:val="454545"/>
          <w:sz w:val="28"/>
          <w:szCs w:val="28"/>
        </w:rPr>
        <w:t>第二条 本规定中的特种设备主要指实验室内使用的涉及生命安全、危险性较大的压力容器（包括气瓶）压力管道和起重设备。</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firstLine="560" w:firstLineChars="200"/>
        <w:textAlignment w:val="auto"/>
        <w:rPr>
          <w:rFonts w:ascii="仿宋" w:hAnsi="仿宋" w:eastAsia="仿宋"/>
          <w:color w:val="454545"/>
          <w:sz w:val="28"/>
          <w:szCs w:val="28"/>
        </w:rPr>
      </w:pPr>
      <w:r>
        <w:rPr>
          <w:rFonts w:hint="eastAsia" w:ascii="仿宋" w:hAnsi="仿宋" w:eastAsia="仿宋"/>
          <w:color w:val="454545"/>
          <w:sz w:val="28"/>
          <w:szCs w:val="28"/>
        </w:rPr>
        <w:t>第三条 凡院内实验室购置与使用特种设备的单位与个人必须遵守本规定。</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firstLine="560" w:firstLineChars="200"/>
        <w:textAlignment w:val="auto"/>
        <w:rPr>
          <w:rFonts w:ascii="仿宋" w:hAnsi="仿宋" w:eastAsia="仿宋"/>
          <w:color w:val="454545"/>
          <w:sz w:val="28"/>
          <w:szCs w:val="28"/>
        </w:rPr>
      </w:pPr>
      <w:r>
        <w:rPr>
          <w:rFonts w:hint="eastAsia" w:ascii="仿宋" w:hAnsi="仿宋" w:eastAsia="仿宋"/>
          <w:color w:val="454545"/>
          <w:sz w:val="28"/>
          <w:szCs w:val="28"/>
        </w:rPr>
        <w:t>第四条 实验室特种设备必须购置具有国家认定的特种设备生产资质厂家的产品。设备在投入使用前或者投入使用后30日内，由使用单位向实验室管理处备案，并到政府特种设备安全监督管理部门登记。登记标志应当置于或者附着于该特种设备的显著位置。</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firstLine="560" w:firstLineChars="200"/>
        <w:textAlignment w:val="auto"/>
        <w:rPr>
          <w:rFonts w:ascii="仿宋" w:hAnsi="仿宋" w:eastAsia="仿宋"/>
          <w:color w:val="454545"/>
          <w:sz w:val="28"/>
          <w:szCs w:val="28"/>
        </w:rPr>
      </w:pPr>
      <w:r>
        <w:rPr>
          <w:rFonts w:hint="eastAsia" w:ascii="仿宋" w:hAnsi="仿宋" w:eastAsia="仿宋"/>
          <w:color w:val="454545"/>
          <w:sz w:val="28"/>
          <w:szCs w:val="28"/>
        </w:rPr>
        <w:t>第五条 因工作需要租赁特种设备时，必须向有租赁业务且是国家认定的具有特种设备生产资质的厂家签约租赁，并在租赁合同中明确双方安全责任事宜，租赁的特种设备的管理必须同时服从学校相关管理规定。</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firstLine="560" w:firstLineChars="200"/>
        <w:textAlignment w:val="auto"/>
        <w:rPr>
          <w:rFonts w:ascii="仿宋" w:hAnsi="仿宋" w:eastAsia="仿宋"/>
          <w:color w:val="454545"/>
          <w:sz w:val="28"/>
          <w:szCs w:val="28"/>
        </w:rPr>
      </w:pPr>
      <w:r>
        <w:rPr>
          <w:rFonts w:hint="eastAsia" w:ascii="仿宋" w:hAnsi="仿宋" w:eastAsia="仿宋"/>
          <w:color w:val="454545"/>
          <w:sz w:val="28"/>
          <w:szCs w:val="28"/>
        </w:rPr>
        <w:t>第六条 特种设备的使用、检验、检测、维修和改造应当遵守特种设备安全技术有关规范及安全标准，使用实验室不得自行设计、制造和使用自制的特种设备，也不得对原有的特种设备擅自进行改造或维修。</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firstLine="560" w:firstLineChars="200"/>
        <w:textAlignment w:val="auto"/>
        <w:rPr>
          <w:rFonts w:ascii="仿宋" w:hAnsi="仿宋" w:eastAsia="仿宋"/>
          <w:color w:val="454545"/>
          <w:sz w:val="28"/>
          <w:szCs w:val="28"/>
        </w:rPr>
      </w:pPr>
      <w:r>
        <w:rPr>
          <w:rFonts w:hint="eastAsia" w:ascii="仿宋" w:hAnsi="仿宋" w:eastAsia="仿宋"/>
          <w:color w:val="454545"/>
          <w:sz w:val="28"/>
          <w:szCs w:val="28"/>
        </w:rPr>
        <w:t>第七条 气体钢瓶的安全使用与管理（一）使用气体钢瓶应严格遵守操作规程，在显著位置标识气体成分等相关信息。（二）气体钢瓶储存场所须有良好的通风、散热和防潮条件，电气设备（电灯、电路）须有防爆设施。（三）气体钢瓶应严格分类分处保管，各类不同品种的气体不得混放；直立放置时需要固定；远离热源，避免暴晒和强烈振动；一般实验室内存放数量不得超过2瓶。（四）可燃性气体和助燃气体钢瓶与明火的距离应大于10m（距离不足时应采取隔离措施）。（五）严禁敲打撞击气体钢瓶，并应经常检查有无漏气现象，注意压力表读数。（六）操作氧气瓶或氢气瓶等，应配备专用工具，并严禁与油类接触。操作人员不能穿戴沾有各种油脂或易感应产生静 电的服装、手套进行操作，以免引起燃烧或爆炸。（七）用后的气体钢瓶，应按规定留0.05MPa以上的残余压力。可燃性气体应剩余0.2～0.3Mpa以上，氢气应剩余2Mpa以上，以防止重新充气时发生危险，不可将气体用完用尽。（八）各种气体钢瓶必须由质量检验单位定期进行技术检查，严禁使用未经检验、不合格、安全阀超期的气体钢瓶。</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firstLine="560" w:firstLineChars="200"/>
        <w:textAlignment w:val="auto"/>
        <w:rPr>
          <w:rFonts w:ascii="仿宋" w:hAnsi="仿宋" w:eastAsia="仿宋"/>
          <w:color w:val="454545"/>
          <w:sz w:val="28"/>
          <w:szCs w:val="28"/>
        </w:rPr>
      </w:pPr>
      <w:r>
        <w:rPr>
          <w:rFonts w:hint="eastAsia" w:ascii="仿宋" w:hAnsi="仿宋" w:eastAsia="仿宋"/>
          <w:color w:val="454545"/>
          <w:sz w:val="28"/>
          <w:szCs w:val="28"/>
        </w:rPr>
        <w:t>第八条 起重设备的安全使用与管理（一）设备操作人员应严格遵守操作规程，并经过专门培训。（二）设备应由专人负责使用、管理和检修。对操作人员有资质要求的设备，须由有相关资质的人员进行操作，其他人员不得擅自操作。（三）设备显著位置须有醒目的警示标识，告诫使用时的危险性和发生意外时的应急措施。</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firstLine="560" w:firstLineChars="200"/>
        <w:textAlignment w:val="auto"/>
        <w:rPr>
          <w:rFonts w:ascii="仿宋" w:hAnsi="仿宋" w:eastAsia="仿宋"/>
          <w:color w:val="454545"/>
          <w:sz w:val="28"/>
          <w:szCs w:val="28"/>
        </w:rPr>
      </w:pPr>
      <w:r>
        <w:rPr>
          <w:rFonts w:hint="eastAsia" w:ascii="仿宋" w:hAnsi="仿宋" w:eastAsia="仿宋"/>
          <w:color w:val="454545"/>
          <w:sz w:val="28"/>
          <w:szCs w:val="28"/>
        </w:rPr>
        <w:t>第九条 在用特种设备必须定期进行技术安全性能检验，由具有资质的特种设备检测单位检验并出具检验报告书。</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firstLine="560" w:firstLineChars="200"/>
        <w:textAlignment w:val="auto"/>
        <w:rPr>
          <w:rFonts w:ascii="仿宋" w:hAnsi="仿宋" w:eastAsia="仿宋"/>
          <w:color w:val="454545"/>
          <w:sz w:val="28"/>
          <w:szCs w:val="28"/>
        </w:rPr>
      </w:pPr>
      <w:r>
        <w:rPr>
          <w:rFonts w:hint="eastAsia" w:ascii="仿宋" w:hAnsi="仿宋" w:eastAsia="仿宋"/>
          <w:color w:val="454545"/>
          <w:sz w:val="28"/>
          <w:szCs w:val="28"/>
        </w:rPr>
        <w:t>第十条 因故停用一年以上的特种设备，必须到质量技术监督部门办理停用手续。特种设备在停用期间可不进行定期检验。</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firstLine="560" w:firstLineChars="200"/>
        <w:textAlignment w:val="auto"/>
        <w:rPr>
          <w:rFonts w:ascii="仿宋" w:hAnsi="仿宋" w:eastAsia="仿宋"/>
          <w:color w:val="454545"/>
          <w:sz w:val="28"/>
          <w:szCs w:val="28"/>
        </w:rPr>
      </w:pPr>
      <w:r>
        <w:rPr>
          <w:rFonts w:hint="eastAsia" w:ascii="仿宋" w:hAnsi="仿宋" w:eastAsia="仿宋"/>
          <w:color w:val="454545"/>
          <w:sz w:val="28"/>
          <w:szCs w:val="28"/>
        </w:rPr>
        <w:t>第十一条 停用一年以上或发生过事故的特种设备以及遇到自然灾害可能影响安全技术性能的特种设备，在使用前必须进行全面的检查和维护保养，重新检验合格后方可继续使用。</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firstLine="560" w:firstLineChars="200"/>
        <w:textAlignment w:val="auto"/>
        <w:rPr>
          <w:rFonts w:ascii="仿宋" w:hAnsi="仿宋" w:eastAsia="仿宋"/>
          <w:color w:val="454545"/>
          <w:sz w:val="28"/>
          <w:szCs w:val="28"/>
        </w:rPr>
      </w:pPr>
      <w:r>
        <w:rPr>
          <w:rFonts w:hint="eastAsia" w:ascii="仿宋" w:hAnsi="仿宋" w:eastAsia="仿宋"/>
          <w:color w:val="454545"/>
          <w:sz w:val="28"/>
          <w:szCs w:val="28"/>
        </w:rPr>
        <w:t>第十二条 各实验中心要对在用特种设备的管理和使用情况进行定期检查并记录，发现问题隐患及时整改。</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firstLine="560" w:firstLineChars="200"/>
        <w:textAlignment w:val="auto"/>
        <w:rPr>
          <w:rFonts w:ascii="仿宋" w:hAnsi="仿宋" w:eastAsia="仿宋"/>
          <w:color w:val="454545"/>
          <w:sz w:val="28"/>
          <w:szCs w:val="28"/>
        </w:rPr>
      </w:pPr>
      <w:r>
        <w:rPr>
          <w:rFonts w:hint="eastAsia" w:ascii="仿宋" w:hAnsi="仿宋" w:eastAsia="仿宋"/>
          <w:color w:val="454545"/>
          <w:sz w:val="28"/>
          <w:szCs w:val="28"/>
        </w:rPr>
        <w:t>第十三条 特种设备报废和产权转移（一）特种设备存在严重事故隐患，无改造维修价值，或者超过安全技术规范规定使用年限时，使用单位应立即停止使用，及时予以报废，并到质量技术监督部门办理注销手续。（二）产权需要发生转移的特种设备，应向实验室管理处审批，再到质量技术监督部门办理相关手续。</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firstLine="560" w:firstLineChars="200"/>
        <w:textAlignment w:val="auto"/>
        <w:rPr>
          <w:rFonts w:ascii="仿宋" w:hAnsi="仿宋" w:eastAsia="仿宋"/>
          <w:color w:val="454545"/>
          <w:sz w:val="28"/>
          <w:szCs w:val="28"/>
        </w:rPr>
      </w:pPr>
      <w:r>
        <w:rPr>
          <w:rFonts w:hint="eastAsia" w:ascii="仿宋" w:hAnsi="仿宋" w:eastAsia="仿宋"/>
          <w:color w:val="454545"/>
          <w:sz w:val="28"/>
          <w:szCs w:val="28"/>
        </w:rPr>
        <w:t>第十四条 禁止使用以下四种特种设备（一）未经检验、未办理注册登记和特种设备使用登记证的特种设备；（二）已报废的特种设备；（三）经检验被判定不合格的特种设备；（四）已发生故障而未排除的特种设备。</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firstLine="560" w:firstLineChars="200"/>
        <w:textAlignment w:val="auto"/>
        <w:rPr>
          <w:rFonts w:ascii="仿宋" w:hAnsi="仿宋" w:eastAsia="仿宋"/>
          <w:color w:val="454545"/>
          <w:sz w:val="28"/>
          <w:szCs w:val="28"/>
        </w:rPr>
      </w:pPr>
      <w:r>
        <w:rPr>
          <w:rFonts w:hint="eastAsia" w:ascii="仿宋" w:hAnsi="仿宋" w:eastAsia="仿宋"/>
          <w:color w:val="454545"/>
          <w:sz w:val="28"/>
          <w:szCs w:val="28"/>
        </w:rPr>
        <w:t>第十五条 本规定于20</w:t>
      </w:r>
      <w:r>
        <w:rPr>
          <w:rFonts w:ascii="仿宋" w:hAnsi="仿宋" w:eastAsia="仿宋"/>
          <w:color w:val="454545"/>
          <w:sz w:val="28"/>
          <w:szCs w:val="28"/>
        </w:rPr>
        <w:t>21</w:t>
      </w:r>
      <w:r>
        <w:rPr>
          <w:rFonts w:hint="eastAsia" w:ascii="仿宋" w:hAnsi="仿宋" w:eastAsia="仿宋"/>
          <w:color w:val="454545"/>
          <w:sz w:val="28"/>
          <w:szCs w:val="28"/>
        </w:rPr>
        <w:t>年</w:t>
      </w:r>
      <w:r>
        <w:rPr>
          <w:rFonts w:ascii="仿宋" w:hAnsi="仿宋" w:eastAsia="仿宋"/>
          <w:color w:val="454545"/>
          <w:sz w:val="28"/>
          <w:szCs w:val="28"/>
        </w:rPr>
        <w:t>6</w:t>
      </w:r>
      <w:r>
        <w:rPr>
          <w:rFonts w:hint="eastAsia" w:ascii="仿宋" w:hAnsi="仿宋" w:eastAsia="仿宋"/>
          <w:color w:val="454545"/>
          <w:sz w:val="28"/>
          <w:szCs w:val="28"/>
        </w:rPr>
        <w:t>月1</w:t>
      </w:r>
      <w:r>
        <w:rPr>
          <w:rFonts w:ascii="仿宋" w:hAnsi="仿宋" w:eastAsia="仿宋"/>
          <w:color w:val="454545"/>
          <w:sz w:val="28"/>
          <w:szCs w:val="28"/>
        </w:rPr>
        <w:t>5</w:t>
      </w:r>
      <w:r>
        <w:rPr>
          <w:rFonts w:hint="eastAsia" w:ascii="仿宋" w:hAnsi="仿宋" w:eastAsia="仿宋"/>
          <w:color w:val="454545"/>
          <w:sz w:val="28"/>
          <w:szCs w:val="28"/>
        </w:rPr>
        <w:t>日制定，自公布之日起施行，本规定未尽事宜，按有关法律法规规章及上级行政规范性文件执行。</w:t>
      </w:r>
    </w:p>
    <w:p>
      <w:pPr>
        <w:rPr>
          <w:rFonts w:ascii="仿宋" w:hAnsi="仿宋" w:eastAsia="仿宋"/>
          <w:sz w:val="28"/>
          <w:szCs w:val="28"/>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M2ZTZhYzI1M2Q4ZGMwZmMzOGNmMTI5OTdmZGI2OWYifQ=="/>
  </w:docVars>
  <w:rsids>
    <w:rsidRoot w:val="00080D7A"/>
    <w:rsid w:val="00080D7A"/>
    <w:rsid w:val="0008361C"/>
    <w:rsid w:val="00192EBE"/>
    <w:rsid w:val="001C7A46"/>
    <w:rsid w:val="00236512"/>
    <w:rsid w:val="002A383E"/>
    <w:rsid w:val="00426FBF"/>
    <w:rsid w:val="00690CCF"/>
    <w:rsid w:val="00A41B8B"/>
    <w:rsid w:val="00CF500C"/>
    <w:rsid w:val="00F34E10"/>
    <w:rsid w:val="00F851FC"/>
    <w:rsid w:val="6ECD4C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1"/>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Balloon Text"/>
    <w:basedOn w:val="1"/>
    <w:link w:val="12"/>
    <w:semiHidden/>
    <w:unhideWhenUsed/>
    <w:qFormat/>
    <w:uiPriority w:val="99"/>
    <w:rPr>
      <w:sz w:val="18"/>
      <w:szCs w:val="18"/>
    </w:rPr>
  </w:style>
  <w:style w:type="paragraph" w:styleId="4">
    <w:name w:val="footer"/>
    <w:basedOn w:val="1"/>
    <w:link w:val="10"/>
    <w:unhideWhenUsed/>
    <w:uiPriority w:val="99"/>
    <w:pPr>
      <w:tabs>
        <w:tab w:val="center" w:pos="4153"/>
        <w:tab w:val="right" w:pos="8306"/>
      </w:tabs>
      <w:snapToGrid w:val="0"/>
      <w:jc w:val="left"/>
    </w:pPr>
    <w:rPr>
      <w:sz w:val="18"/>
      <w:szCs w:val="18"/>
    </w:rPr>
  </w:style>
  <w:style w:type="paragraph" w:styleId="5">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9">
    <w:name w:val="页眉 字符"/>
    <w:basedOn w:val="8"/>
    <w:link w:val="5"/>
    <w:uiPriority w:val="99"/>
    <w:rPr>
      <w:sz w:val="18"/>
      <w:szCs w:val="18"/>
    </w:rPr>
  </w:style>
  <w:style w:type="character" w:customStyle="1" w:styleId="10">
    <w:name w:val="页脚 字符"/>
    <w:basedOn w:val="8"/>
    <w:link w:val="4"/>
    <w:uiPriority w:val="99"/>
    <w:rPr>
      <w:sz w:val="18"/>
      <w:szCs w:val="18"/>
    </w:rPr>
  </w:style>
  <w:style w:type="character" w:customStyle="1" w:styleId="11">
    <w:name w:val="标题 2 字符"/>
    <w:basedOn w:val="8"/>
    <w:link w:val="2"/>
    <w:uiPriority w:val="9"/>
    <w:rPr>
      <w:rFonts w:ascii="宋体" w:hAnsi="宋体" w:eastAsia="宋体" w:cs="宋体"/>
      <w:b/>
      <w:bCs/>
      <w:kern w:val="0"/>
      <w:sz w:val="36"/>
      <w:szCs w:val="36"/>
    </w:rPr>
  </w:style>
  <w:style w:type="character" w:customStyle="1" w:styleId="12">
    <w:name w:val="批注框文本 字符"/>
    <w:basedOn w:val="8"/>
    <w:link w:val="3"/>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1599</Words>
  <Characters>1622</Characters>
  <Lines>11</Lines>
  <Paragraphs>3</Paragraphs>
  <TotalTime>10</TotalTime>
  <ScaleCrop>false</ScaleCrop>
  <LinksUpToDate>false</LinksUpToDate>
  <CharactersWithSpaces>1666</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2021-04-10T07:19:00Z</dcterms:created>
  <dc:creator>zhangshan3</dc:creator>
  <cp:lastModifiedBy>Jimey</cp:lastModifiedBy>
  <cp:lastPrinted>2021-04-13T08:33:00Z</cp:lastPrinted>
  <dcterms:modified xsi:type="dcterms:W3CDTF">2022-11-19T12:43:26Z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CF996744E649400793DC89379C0CD325</vt:lpwstr>
  </property>
</Properties>
</file>